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12D" w:rsidRPr="003C312D" w:rsidRDefault="003C312D">
      <w:pPr>
        <w:pStyle w:val="ConsPlusTitle"/>
        <w:jc w:val="center"/>
      </w:pPr>
      <w:r w:rsidRPr="003C312D">
        <w:t>СОВЕТ ДЕПУТАТОВ ХВОЙНИНСКОГО ГОРОДСКОГО ПОСЕЛЕНИЯ</w:t>
      </w:r>
    </w:p>
    <w:p w:rsidR="003C312D" w:rsidRPr="003C312D" w:rsidRDefault="003C312D">
      <w:pPr>
        <w:pStyle w:val="ConsPlusTitle"/>
        <w:jc w:val="center"/>
      </w:pPr>
      <w:r w:rsidRPr="003C312D">
        <w:t>НОВГОРОДСКОЙ ОБЛАСТИ</w:t>
      </w:r>
    </w:p>
    <w:p w:rsidR="003C312D" w:rsidRPr="003C312D" w:rsidRDefault="003C312D">
      <w:pPr>
        <w:pStyle w:val="ConsPlusTitle"/>
        <w:jc w:val="center"/>
      </w:pPr>
    </w:p>
    <w:p w:rsidR="003C312D" w:rsidRPr="003C312D" w:rsidRDefault="003C312D">
      <w:pPr>
        <w:pStyle w:val="ConsPlusTitle"/>
        <w:jc w:val="center"/>
      </w:pPr>
      <w:r w:rsidRPr="003C312D">
        <w:t>РЕШЕНИЕ</w:t>
      </w:r>
    </w:p>
    <w:p w:rsidR="003C312D" w:rsidRPr="003C312D" w:rsidRDefault="003C312D">
      <w:pPr>
        <w:pStyle w:val="ConsPlusTitle"/>
        <w:jc w:val="center"/>
      </w:pPr>
      <w:r w:rsidRPr="003C312D">
        <w:t xml:space="preserve">от 28 августа 2020 г. </w:t>
      </w:r>
      <w:r w:rsidR="00173F6A">
        <w:t>№</w:t>
      </w:r>
      <w:bookmarkStart w:id="0" w:name="_GoBack"/>
      <w:bookmarkEnd w:id="0"/>
      <w:r w:rsidRPr="003C312D">
        <w:t xml:space="preserve"> 174</w:t>
      </w:r>
    </w:p>
    <w:p w:rsidR="003C312D" w:rsidRPr="003C312D" w:rsidRDefault="003C312D">
      <w:pPr>
        <w:pStyle w:val="ConsPlusTitle"/>
        <w:jc w:val="center"/>
      </w:pPr>
    </w:p>
    <w:p w:rsidR="003C312D" w:rsidRPr="003C312D" w:rsidRDefault="00173F6A">
      <w:pPr>
        <w:pStyle w:val="ConsPlusTitle"/>
        <w:jc w:val="center"/>
      </w:pPr>
      <w:r>
        <w:t>О</w:t>
      </w:r>
      <w:r w:rsidRPr="003C312D">
        <w:t xml:space="preserve"> внесении изменений в решение </w:t>
      </w:r>
      <w:r>
        <w:t>С</w:t>
      </w:r>
      <w:r w:rsidRPr="003C312D">
        <w:t xml:space="preserve">овета депутатов </w:t>
      </w:r>
      <w:proofErr w:type="spellStart"/>
      <w:r>
        <w:t>Х</w:t>
      </w:r>
      <w:r w:rsidRPr="003C312D">
        <w:t>войнинского</w:t>
      </w:r>
      <w:proofErr w:type="spellEnd"/>
    </w:p>
    <w:p w:rsidR="003C312D" w:rsidRPr="003C312D" w:rsidRDefault="00173F6A">
      <w:pPr>
        <w:pStyle w:val="ConsPlusTitle"/>
        <w:jc w:val="center"/>
      </w:pPr>
      <w:r w:rsidRPr="003C312D">
        <w:t xml:space="preserve">городского поселения от 08.04.2020 </w:t>
      </w:r>
      <w:r>
        <w:t>№</w:t>
      </w:r>
      <w:r w:rsidRPr="003C312D">
        <w:t xml:space="preserve"> 163</w:t>
      </w:r>
    </w:p>
    <w:p w:rsidR="003C312D" w:rsidRPr="003C312D" w:rsidRDefault="003C312D">
      <w:pPr>
        <w:pStyle w:val="ConsPlusNormal"/>
        <w:jc w:val="both"/>
      </w:pPr>
    </w:p>
    <w:p w:rsidR="003C312D" w:rsidRPr="003C312D" w:rsidRDefault="003C312D">
      <w:pPr>
        <w:pStyle w:val="ConsPlusNormal"/>
        <w:ind w:firstLine="540"/>
        <w:jc w:val="both"/>
      </w:pPr>
      <w:proofErr w:type="gramStart"/>
      <w:r w:rsidRPr="003C312D">
        <w:t xml:space="preserve">В соответствии с главой 32 Налогового кодекса Российской Федерации, Федеральным законом от 6 октября 2003 года </w:t>
      </w:r>
      <w:r w:rsidR="00173F6A">
        <w:t>№</w:t>
      </w:r>
      <w:r w:rsidRPr="003C312D">
        <w:t xml:space="preserve"> 131-ФЗ "Об общих принципах организации местного самоуправления в Российской Федерации", областным законом от 23.10.2014 </w:t>
      </w:r>
      <w:r w:rsidR="00173F6A">
        <w:t>№</w:t>
      </w:r>
      <w:r w:rsidRPr="003C312D">
        <w:t xml:space="preserve"> 636-ОЗ "О дате начала применения на территории Новгородской области порядка определения налоговой базы по налогу на имущество физических лиц исходя из кадастровой стоимости объектов недвижимости", руководствуясь Уставом </w:t>
      </w:r>
      <w:proofErr w:type="spellStart"/>
      <w:r w:rsidRPr="003C312D">
        <w:t>Хвойнинского</w:t>
      </w:r>
      <w:proofErr w:type="spellEnd"/>
      <w:r w:rsidRPr="003C312D">
        <w:t xml:space="preserve"> городского поселения</w:t>
      </w:r>
      <w:proofErr w:type="gramEnd"/>
      <w:r w:rsidRPr="003C312D">
        <w:t xml:space="preserve">, Совет депутатов </w:t>
      </w:r>
      <w:proofErr w:type="spellStart"/>
      <w:r w:rsidRPr="003C312D">
        <w:t>Хвойнинского</w:t>
      </w:r>
      <w:proofErr w:type="spellEnd"/>
      <w:r w:rsidRPr="003C312D">
        <w:t xml:space="preserve"> городского поселения решил:</w:t>
      </w:r>
    </w:p>
    <w:p w:rsidR="003C312D" w:rsidRPr="003C312D" w:rsidRDefault="003C312D">
      <w:pPr>
        <w:pStyle w:val="ConsPlusNormal"/>
        <w:spacing w:before="220"/>
        <w:ind w:firstLine="540"/>
        <w:jc w:val="both"/>
      </w:pPr>
      <w:r w:rsidRPr="003C312D">
        <w:t xml:space="preserve">1. Внести изменения в решение Совета депутатов </w:t>
      </w:r>
      <w:proofErr w:type="spellStart"/>
      <w:r w:rsidRPr="003C312D">
        <w:t>Хвойнинского</w:t>
      </w:r>
      <w:proofErr w:type="spellEnd"/>
      <w:r w:rsidRPr="003C312D">
        <w:t xml:space="preserve"> городского поселения "О налоге на имущество физических лиц" от 08.04.2020 </w:t>
      </w:r>
      <w:r w:rsidR="00173F6A">
        <w:t>№</w:t>
      </w:r>
      <w:r w:rsidRPr="003C312D">
        <w:t xml:space="preserve"> 163 изменения следующего содержания:</w:t>
      </w:r>
    </w:p>
    <w:p w:rsidR="003C312D" w:rsidRPr="003C312D" w:rsidRDefault="003C312D">
      <w:pPr>
        <w:pStyle w:val="ConsPlusNormal"/>
        <w:spacing w:before="220"/>
        <w:ind w:firstLine="540"/>
        <w:jc w:val="both"/>
      </w:pPr>
      <w:r w:rsidRPr="003C312D">
        <w:t>1.1. Раздел 3 решения изложить в следующей редакции:</w:t>
      </w:r>
    </w:p>
    <w:p w:rsidR="003C312D" w:rsidRPr="003C312D" w:rsidRDefault="003C312D">
      <w:pPr>
        <w:pStyle w:val="ConsPlusNormal"/>
        <w:spacing w:before="220"/>
        <w:ind w:firstLine="540"/>
        <w:jc w:val="both"/>
      </w:pPr>
      <w:r w:rsidRPr="003C312D">
        <w:t>"3. Установить налоговые ставки в следующих размерах:</w:t>
      </w:r>
    </w:p>
    <w:p w:rsidR="003C312D" w:rsidRPr="003C312D" w:rsidRDefault="003C312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0"/>
        <w:gridCol w:w="1701"/>
      </w:tblGrid>
      <w:tr w:rsidR="003C312D" w:rsidRPr="003C312D">
        <w:tc>
          <w:tcPr>
            <w:tcW w:w="7370" w:type="dxa"/>
          </w:tcPr>
          <w:p w:rsidR="003C312D" w:rsidRPr="003C312D" w:rsidRDefault="003C312D">
            <w:pPr>
              <w:pStyle w:val="ConsPlusNormal"/>
              <w:jc w:val="center"/>
            </w:pPr>
            <w:r w:rsidRPr="003C312D">
              <w:t>Объекты налогообложения</w:t>
            </w:r>
          </w:p>
        </w:tc>
        <w:tc>
          <w:tcPr>
            <w:tcW w:w="1701" w:type="dxa"/>
          </w:tcPr>
          <w:p w:rsidR="003C312D" w:rsidRPr="003C312D" w:rsidRDefault="003C312D">
            <w:pPr>
              <w:pStyle w:val="ConsPlusNormal"/>
              <w:jc w:val="center"/>
            </w:pPr>
            <w:r w:rsidRPr="003C312D">
              <w:t>Ставка налога (процентов)</w:t>
            </w:r>
          </w:p>
        </w:tc>
      </w:tr>
      <w:tr w:rsidR="003C312D" w:rsidRPr="003C312D">
        <w:tc>
          <w:tcPr>
            <w:tcW w:w="7370" w:type="dxa"/>
          </w:tcPr>
          <w:p w:rsidR="003C312D" w:rsidRPr="003C312D" w:rsidRDefault="003C312D">
            <w:pPr>
              <w:pStyle w:val="ConsPlusNormal"/>
              <w:ind w:firstLine="283"/>
              <w:jc w:val="both"/>
            </w:pPr>
            <w:r w:rsidRPr="003C312D">
              <w:t>Жилые дома, части жилых домов, квартир, части квартир, комнаты</w:t>
            </w:r>
          </w:p>
        </w:tc>
        <w:tc>
          <w:tcPr>
            <w:tcW w:w="1701" w:type="dxa"/>
            <w:vAlign w:val="bottom"/>
          </w:tcPr>
          <w:p w:rsidR="003C312D" w:rsidRPr="003C312D" w:rsidRDefault="003C312D">
            <w:pPr>
              <w:pStyle w:val="ConsPlusNormal"/>
              <w:jc w:val="center"/>
            </w:pPr>
            <w:r w:rsidRPr="003C312D">
              <w:t>0,3</w:t>
            </w:r>
          </w:p>
        </w:tc>
      </w:tr>
      <w:tr w:rsidR="003C312D" w:rsidRPr="003C312D">
        <w:tc>
          <w:tcPr>
            <w:tcW w:w="7370" w:type="dxa"/>
          </w:tcPr>
          <w:p w:rsidR="003C312D" w:rsidRPr="003C312D" w:rsidRDefault="003C312D">
            <w:pPr>
              <w:pStyle w:val="ConsPlusNormal"/>
              <w:ind w:firstLine="283"/>
              <w:jc w:val="both"/>
            </w:pPr>
            <w:r w:rsidRPr="003C312D">
              <w:t>Объекты незавершенного строительства в случае, если проектируемым назначением таких объектов является жилой дом</w:t>
            </w:r>
          </w:p>
        </w:tc>
        <w:tc>
          <w:tcPr>
            <w:tcW w:w="1701" w:type="dxa"/>
            <w:vAlign w:val="bottom"/>
          </w:tcPr>
          <w:p w:rsidR="003C312D" w:rsidRPr="003C312D" w:rsidRDefault="003C312D">
            <w:pPr>
              <w:pStyle w:val="ConsPlusNormal"/>
              <w:jc w:val="center"/>
            </w:pPr>
            <w:r w:rsidRPr="003C312D">
              <w:t>0,3</w:t>
            </w:r>
          </w:p>
        </w:tc>
      </w:tr>
      <w:tr w:rsidR="003C312D" w:rsidRPr="003C312D">
        <w:tc>
          <w:tcPr>
            <w:tcW w:w="7370" w:type="dxa"/>
          </w:tcPr>
          <w:p w:rsidR="003C312D" w:rsidRPr="003C312D" w:rsidRDefault="003C312D">
            <w:pPr>
              <w:pStyle w:val="ConsPlusNormal"/>
              <w:ind w:firstLine="283"/>
              <w:jc w:val="both"/>
            </w:pPr>
            <w:r w:rsidRPr="003C312D">
              <w:t>Единые недвижимые комплексы, в состав которых входит хотя бы один жилой дом</w:t>
            </w:r>
          </w:p>
        </w:tc>
        <w:tc>
          <w:tcPr>
            <w:tcW w:w="1701" w:type="dxa"/>
            <w:vAlign w:val="bottom"/>
          </w:tcPr>
          <w:p w:rsidR="003C312D" w:rsidRPr="003C312D" w:rsidRDefault="003C312D">
            <w:pPr>
              <w:pStyle w:val="ConsPlusNormal"/>
              <w:jc w:val="center"/>
            </w:pPr>
            <w:r w:rsidRPr="003C312D">
              <w:t>0,3</w:t>
            </w:r>
          </w:p>
        </w:tc>
      </w:tr>
      <w:tr w:rsidR="003C312D" w:rsidRPr="003C312D">
        <w:tc>
          <w:tcPr>
            <w:tcW w:w="7370" w:type="dxa"/>
          </w:tcPr>
          <w:p w:rsidR="003C312D" w:rsidRPr="003C312D" w:rsidRDefault="003C312D">
            <w:pPr>
              <w:pStyle w:val="ConsPlusNormal"/>
              <w:ind w:firstLine="283"/>
              <w:jc w:val="both"/>
            </w:pPr>
            <w:r w:rsidRPr="003C312D">
              <w:t xml:space="preserve">Гаражи и </w:t>
            </w:r>
            <w:proofErr w:type="spellStart"/>
            <w:r w:rsidRPr="003C312D">
              <w:t>машино</w:t>
            </w:r>
            <w:proofErr w:type="spellEnd"/>
            <w:r w:rsidRPr="003C312D">
              <w:t>-места</w:t>
            </w:r>
          </w:p>
        </w:tc>
        <w:tc>
          <w:tcPr>
            <w:tcW w:w="1701" w:type="dxa"/>
            <w:vAlign w:val="bottom"/>
          </w:tcPr>
          <w:p w:rsidR="003C312D" w:rsidRPr="003C312D" w:rsidRDefault="003C312D">
            <w:pPr>
              <w:pStyle w:val="ConsPlusNormal"/>
              <w:jc w:val="center"/>
            </w:pPr>
            <w:r w:rsidRPr="003C312D">
              <w:t>0,3</w:t>
            </w:r>
          </w:p>
        </w:tc>
      </w:tr>
      <w:tr w:rsidR="003C312D" w:rsidRPr="003C312D">
        <w:tc>
          <w:tcPr>
            <w:tcW w:w="7370" w:type="dxa"/>
          </w:tcPr>
          <w:p w:rsidR="003C312D" w:rsidRPr="003C312D" w:rsidRDefault="003C312D">
            <w:pPr>
              <w:pStyle w:val="ConsPlusNormal"/>
              <w:ind w:firstLine="283"/>
              <w:jc w:val="both"/>
            </w:pPr>
            <w:r w:rsidRPr="003C312D">
              <w:t>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701" w:type="dxa"/>
            <w:vAlign w:val="bottom"/>
          </w:tcPr>
          <w:p w:rsidR="003C312D" w:rsidRPr="003C312D" w:rsidRDefault="003C312D">
            <w:pPr>
              <w:pStyle w:val="ConsPlusNormal"/>
              <w:jc w:val="center"/>
            </w:pPr>
            <w:r w:rsidRPr="003C312D">
              <w:t>0,3</w:t>
            </w:r>
          </w:p>
        </w:tc>
      </w:tr>
      <w:tr w:rsidR="003C312D" w:rsidRPr="003C312D">
        <w:tblPrEx>
          <w:tblBorders>
            <w:insideH w:val="nil"/>
          </w:tblBorders>
        </w:tblPrEx>
        <w:tc>
          <w:tcPr>
            <w:tcW w:w="7370" w:type="dxa"/>
            <w:tcBorders>
              <w:bottom w:val="nil"/>
            </w:tcBorders>
          </w:tcPr>
          <w:p w:rsidR="003C312D" w:rsidRPr="003C312D" w:rsidRDefault="003C312D">
            <w:pPr>
              <w:pStyle w:val="ConsPlusNormal"/>
              <w:ind w:firstLine="283"/>
              <w:jc w:val="both"/>
            </w:pPr>
            <w:r w:rsidRPr="003C312D">
              <w:t>Объекты налогообложения, включенные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3C312D" w:rsidRPr="003C312D" w:rsidRDefault="003C312D">
            <w:pPr>
              <w:pStyle w:val="ConsPlusNormal"/>
            </w:pPr>
          </w:p>
        </w:tc>
      </w:tr>
      <w:tr w:rsidR="003C312D" w:rsidRPr="003C312D">
        <w:tblPrEx>
          <w:tblBorders>
            <w:insideH w:val="nil"/>
          </w:tblBorders>
        </w:tblPrEx>
        <w:tc>
          <w:tcPr>
            <w:tcW w:w="7370" w:type="dxa"/>
            <w:tcBorders>
              <w:top w:val="nil"/>
              <w:bottom w:val="nil"/>
            </w:tcBorders>
          </w:tcPr>
          <w:p w:rsidR="003C312D" w:rsidRPr="003C312D" w:rsidRDefault="003C312D">
            <w:pPr>
              <w:pStyle w:val="ConsPlusNormal"/>
              <w:ind w:firstLine="283"/>
              <w:jc w:val="both"/>
            </w:pPr>
            <w:r w:rsidRPr="003C312D">
              <w:t>до 4200000 рублей включительно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C312D" w:rsidRPr="003C312D" w:rsidRDefault="003C312D">
            <w:pPr>
              <w:pStyle w:val="ConsPlusNormal"/>
              <w:jc w:val="center"/>
            </w:pPr>
            <w:r w:rsidRPr="003C312D">
              <w:t>1,0</w:t>
            </w:r>
          </w:p>
        </w:tc>
      </w:tr>
      <w:tr w:rsidR="003C312D" w:rsidRPr="003C312D">
        <w:tblPrEx>
          <w:tblBorders>
            <w:insideH w:val="nil"/>
          </w:tblBorders>
        </w:tblPrEx>
        <w:tc>
          <w:tcPr>
            <w:tcW w:w="7370" w:type="dxa"/>
            <w:tcBorders>
              <w:top w:val="nil"/>
            </w:tcBorders>
          </w:tcPr>
          <w:p w:rsidR="003C312D" w:rsidRPr="003C312D" w:rsidRDefault="003C312D">
            <w:pPr>
              <w:pStyle w:val="ConsPlusNormal"/>
              <w:ind w:firstLine="283"/>
              <w:jc w:val="both"/>
            </w:pPr>
            <w:r w:rsidRPr="003C312D">
              <w:t>свыше 4200000 рублей</w:t>
            </w:r>
          </w:p>
        </w:tc>
        <w:tc>
          <w:tcPr>
            <w:tcW w:w="1701" w:type="dxa"/>
            <w:tcBorders>
              <w:top w:val="nil"/>
            </w:tcBorders>
          </w:tcPr>
          <w:p w:rsidR="003C312D" w:rsidRPr="003C312D" w:rsidRDefault="003C312D">
            <w:pPr>
              <w:pStyle w:val="ConsPlusNormal"/>
              <w:jc w:val="center"/>
            </w:pPr>
            <w:r w:rsidRPr="003C312D">
              <w:t>2,0</w:t>
            </w:r>
          </w:p>
        </w:tc>
      </w:tr>
      <w:tr w:rsidR="003C312D" w:rsidRPr="003C312D">
        <w:tc>
          <w:tcPr>
            <w:tcW w:w="7370" w:type="dxa"/>
          </w:tcPr>
          <w:p w:rsidR="003C312D" w:rsidRPr="003C312D" w:rsidRDefault="003C312D">
            <w:pPr>
              <w:pStyle w:val="ConsPlusNormal"/>
              <w:ind w:firstLine="283"/>
              <w:jc w:val="both"/>
            </w:pPr>
            <w:r w:rsidRPr="003C312D">
              <w:t>Объекты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1701" w:type="dxa"/>
            <w:vAlign w:val="bottom"/>
          </w:tcPr>
          <w:p w:rsidR="003C312D" w:rsidRPr="003C312D" w:rsidRDefault="003C312D">
            <w:pPr>
              <w:pStyle w:val="ConsPlusNormal"/>
              <w:jc w:val="center"/>
            </w:pPr>
            <w:r w:rsidRPr="003C312D">
              <w:t>2,0</w:t>
            </w:r>
          </w:p>
        </w:tc>
      </w:tr>
      <w:tr w:rsidR="003C312D" w:rsidRPr="003C312D">
        <w:tc>
          <w:tcPr>
            <w:tcW w:w="7370" w:type="dxa"/>
          </w:tcPr>
          <w:p w:rsidR="003C312D" w:rsidRPr="003C312D" w:rsidRDefault="003C312D">
            <w:pPr>
              <w:pStyle w:val="ConsPlusNormal"/>
              <w:ind w:firstLine="283"/>
              <w:jc w:val="both"/>
            </w:pPr>
            <w:r w:rsidRPr="003C312D">
              <w:t>Прочие объекты налогообложения</w:t>
            </w:r>
          </w:p>
        </w:tc>
        <w:tc>
          <w:tcPr>
            <w:tcW w:w="1701" w:type="dxa"/>
            <w:vAlign w:val="bottom"/>
          </w:tcPr>
          <w:p w:rsidR="003C312D" w:rsidRPr="003C312D" w:rsidRDefault="003C312D">
            <w:pPr>
              <w:pStyle w:val="ConsPlusNormal"/>
              <w:jc w:val="center"/>
            </w:pPr>
            <w:r w:rsidRPr="003C312D">
              <w:t>0,5".</w:t>
            </w:r>
          </w:p>
        </w:tc>
      </w:tr>
    </w:tbl>
    <w:p w:rsidR="003C312D" w:rsidRPr="003C312D" w:rsidRDefault="003C312D">
      <w:pPr>
        <w:pStyle w:val="ConsPlusNormal"/>
        <w:jc w:val="both"/>
      </w:pPr>
    </w:p>
    <w:p w:rsidR="003C312D" w:rsidRPr="003C312D" w:rsidRDefault="003C312D">
      <w:pPr>
        <w:pStyle w:val="ConsPlusNormal"/>
        <w:ind w:firstLine="540"/>
        <w:jc w:val="both"/>
      </w:pPr>
      <w:r w:rsidRPr="003C312D">
        <w:t>2. Настоящее решение вступает в силу не ранее чем по истечении одного месяца со дня его официального опубликования и не ранее 1-го числа очередного налогового периода по налогу на имущество физических лиц, за исключением случаев, рассмотренных статьей 5 Налогового кодекса РФ (часть 1).</w:t>
      </w:r>
    </w:p>
    <w:p w:rsidR="003C312D" w:rsidRPr="003C312D" w:rsidRDefault="003C312D">
      <w:pPr>
        <w:pStyle w:val="ConsPlusNormal"/>
        <w:spacing w:before="220"/>
        <w:ind w:firstLine="540"/>
        <w:jc w:val="both"/>
      </w:pPr>
      <w:r w:rsidRPr="003C312D">
        <w:t>3. Опубликовать настоящее решение в бюллетене "Официальный вестник поселения" и разместить на сайте Администрации поселения в сети Интернет.</w:t>
      </w:r>
    </w:p>
    <w:p w:rsidR="003C312D" w:rsidRPr="003C312D" w:rsidRDefault="003C312D">
      <w:pPr>
        <w:pStyle w:val="ConsPlusNormal"/>
        <w:jc w:val="both"/>
      </w:pPr>
    </w:p>
    <w:p w:rsidR="003C312D" w:rsidRPr="003C312D" w:rsidRDefault="003C312D">
      <w:pPr>
        <w:pStyle w:val="ConsPlusNormal"/>
        <w:jc w:val="right"/>
      </w:pPr>
      <w:r w:rsidRPr="003C312D">
        <w:t>Глава городского поселения,</w:t>
      </w:r>
    </w:p>
    <w:p w:rsidR="003C312D" w:rsidRPr="003C312D" w:rsidRDefault="003C312D">
      <w:pPr>
        <w:pStyle w:val="ConsPlusNormal"/>
        <w:jc w:val="right"/>
      </w:pPr>
      <w:r w:rsidRPr="003C312D">
        <w:t>председатель Совета депутатов</w:t>
      </w:r>
    </w:p>
    <w:p w:rsidR="003C312D" w:rsidRPr="003C312D" w:rsidRDefault="003C312D">
      <w:pPr>
        <w:pStyle w:val="ConsPlusNormal"/>
        <w:jc w:val="right"/>
      </w:pPr>
      <w:proofErr w:type="spellStart"/>
      <w:r w:rsidRPr="003C312D">
        <w:t>Хвойнинского</w:t>
      </w:r>
      <w:proofErr w:type="spellEnd"/>
      <w:r w:rsidRPr="003C312D">
        <w:t xml:space="preserve"> городского поселения</w:t>
      </w:r>
    </w:p>
    <w:p w:rsidR="003C312D" w:rsidRPr="003C312D" w:rsidRDefault="003C312D">
      <w:pPr>
        <w:pStyle w:val="ConsPlusNormal"/>
        <w:jc w:val="right"/>
      </w:pPr>
      <w:r w:rsidRPr="003C312D">
        <w:t>П.О.ВЛАСЮК</w:t>
      </w:r>
    </w:p>
    <w:sectPr w:rsidR="003C312D" w:rsidRPr="003C312D" w:rsidSect="002E5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2D"/>
    <w:rsid w:val="00173F6A"/>
    <w:rsid w:val="003C312D"/>
    <w:rsid w:val="00F5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1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31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31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1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31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31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iNternet_kab_209</cp:lastModifiedBy>
  <cp:revision>2</cp:revision>
  <dcterms:created xsi:type="dcterms:W3CDTF">2020-11-03T14:03:00Z</dcterms:created>
  <dcterms:modified xsi:type="dcterms:W3CDTF">2020-11-03T14:03:00Z</dcterms:modified>
</cp:coreProperties>
</file>